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Bdr>
          <w:bottom w:val="single" w:sz="8" w:space="1" w:color="007a7a"/>
        </w:pBdr>
      </w:pPr>
    </w:p>
    <w:p>
      <w:pPr>
        <w:spacing w:after="2400"/>
      </w:pPr>
    </w:p>
    <w:p>
      <w:pPr>
        <w:spacing w:after="160"/>
        <w:jc w:val="left"/>
        <w:pBdr>
          <w:bottom w:val="single" w:sz="6" w:space="10" w:color="007a7a"/>
        </w:pBdr>
      </w:pPr>
      <w:r>
        <w:rPr>
          <w:rFonts w:ascii="Arial" w:hAnsi="Arial"/>
          <w:b/>
          <w:color w:val="007A7A"/>
          <w:sz w:val="68"/>
        </w:rPr>
        <w:t>Freddie's Health Guide</w:t>
      </w:r>
    </w:p>
    <w:p>
      <w:pPr>
        <w:spacing w:before="200"/>
        <w:jc w:val="left"/>
      </w:pPr>
      <w:r>
        <w:rPr>
          <w:rFonts w:ascii="Arial" w:hAnsi="Arial"/>
          <w:color w:val="737373"/>
          <w:sz w:val="28"/>
        </w:rPr>
        <w:t>Freddie Ford  |  16 September 2026</w:t>
      </w:r>
    </w:p>
    <w:p>
      <w:pPr>
        <w:spacing w:after="3000"/>
      </w:pPr>
    </w:p>
    <w:p>
      <w:pPr>
        <w:spacing w:after="280"/>
        <w:pBdr>
          <w:bottom w:val="single" w:sz="4" w:space="1" w:color="BFBFBF"/>
        </w:pBdr>
      </w:pPr>
    </w:p>
    <w:p>
      <w:pPr>
        <w:spacing w:after="40"/>
        <w:jc w:val="left"/>
      </w:pPr>
      <w:r>
        <w:rPr>
          <w:rFonts w:ascii="Arial" w:hAnsi="Arial"/>
          <w:b/>
          <w:color w:val="737373"/>
          <w:sz w:val="16"/>
          <w:spacing w:val="30"/>
        </w:rPr>
        <w:t>PREPARED BY</w:t>
      </w:r>
    </w:p>
    <w:p>
      <w:pPr>
        <w:spacing w:after="280"/>
        <w:jc w:val="left"/>
      </w:pPr>
      <w:r>
        <w:rPr>
          <w:rFonts w:ascii="Arial" w:hAnsi="Arial"/>
          <w:b/>
          <w:color w:val="1A1A1A"/>
          <w:sz w:val="26"/>
        </w:rPr>
        <w:t>Riico Health</w:t>
      </w:r>
    </w:p>
    <w:p>
      <w:pPr>
        <w:jc w:val="left"/>
      </w:pPr>
      <w:r>
        <w:rPr>
          <w:rFonts w:ascii="Arial" w:hAnsi="Arial"/>
          <w:color w:val="737373"/>
          <w:sz w:val="22"/>
        </w:rPr>
        <w:t>September 2026</w:t>
      </w:r>
    </w:p>
    <w:p>
      <w:pPr>
        <w:pageBreakBefore/>
      </w:pPr>
      <w:r>
        <w:rPr>
          <w:sz w:val="22"/>
        </w:rPr>
        <w:t>This guide is written for Freddie's parents. It explains what we found, why Freddie gets angry and frustrated, and exactly what to do about it. We have kept it short and simple.</w:t>
      </w:r>
    </w:p>
    <w:p>
      <w:pPr>
        <w:spacing w:after="432" w:line="20" w:lineRule="exact"/>
      </w:pPr>
    </w:p>
    <w:p>
      <w:pPr>
        <w:pStyle w:val="Heading1"/>
      </w:pPr>
      <w:r>
        <w:t>SECTION 1 — WHY FREDDIE GETS ANGRY AND FRUSTRATED</w:t>
      </w:r>
    </w:p>
    <w:p>
      <w:r>
        <w:rPr>
          <w:sz w:val="22"/>
        </w:rPr>
        <w:t>The outbursts are not just behavioural. There are clear physical and emotional reasons showing up in Freddie's body. Here is what we found:</w:t>
      </w:r>
    </w:p>
    <w:p>
      <w:pPr>
        <w:spacing w:after="216" w:line="20" w:lineRule="exact"/>
      </w:pPr>
    </w:p>
    <w:p>
      <w:r>
        <w:rPr>
          <w:b/>
          <w:sz w:val="24"/>
        </w:rPr>
        <w:t>1. A Parasite in the Liver</w:t>
      </w:r>
    </w:p>
    <w:p>
      <w:r>
        <w:rPr>
          <w:sz w:val="22"/>
        </w:rPr>
        <w:t>We found a liver fluke (Fasciola hepatica) — a parasite living in Freddie's liver. This is directly linked to the anger and frustration outbursts. The liver is the organ most associated with anger in the body. When the liver is under strain from a parasite, it produces irritability, sudden anger and frustration that can feel uncontrollable. The liver fluke is also carrying titanium and chlorine (heavy metals) inside it.</w:t>
      </w:r>
    </w:p>
    <w:p>
      <w:pPr>
        <w:spacing w:after="216" w:line="20" w:lineRule="exact"/>
      </w:pPr>
    </w:p>
    <w:p>
      <w:r>
        <w:rPr>
          <w:b/>
          <w:sz w:val="24"/>
        </w:rPr>
        <w:t>2. Heavy Metals in the Brain and Nervous System</w:t>
      </w:r>
    </w:p>
    <w:p>
      <w:r>
        <w:rPr>
          <w:sz w:val="22"/>
        </w:rPr>
        <w:t>We found five heavy metals sitting in Freddie's central nervous system, brain and spinal cord:</w:t>
      </w:r>
    </w:p>
    <w:tbl>
      <w:tblPr>
        <w:tblStyle w:val="TableGrid"/>
        <w:tblW w:type="auto" w:w="0"/>
        <w:tblLook w:firstColumn="1" w:firstRow="1" w:lastColumn="0" w:lastRow="0" w:noHBand="0" w:noVBand="1" w:val="04A0"/>
      </w:tblPr>
      <w:tblGrid>
        <w:gridCol w:w="4320"/>
        <w:gridCol w:w="4320"/>
      </w:tblGrid>
      <w:tr>
        <w:tc>
          <w:tcPr>
            <w:tcW w:type="dxa" w:w="4320"/>
            <w:shd w:fill="007a7a"/>
          </w:tcPr>
          <w:p>
            <w:r>
              <w:rPr>
                <w:b/>
                <w:color w:val="FFFFFF"/>
              </w:rPr>
              <w:t>Metal</w:t>
            </w:r>
          </w:p>
        </w:tc>
        <w:tc>
          <w:tcPr>
            <w:tcW w:type="dxa" w:w="4320"/>
            <w:shd w:fill="007a7a"/>
          </w:tcPr>
          <w:p>
            <w:r>
              <w:rPr>
                <w:b/>
                <w:color w:val="FFFFFF"/>
              </w:rPr>
              <w:t>Where It Is Sitting</w:t>
            </w:r>
          </w:p>
        </w:tc>
      </w:tr>
      <w:tr>
        <w:tc>
          <w:tcPr>
            <w:tcW w:type="dxa" w:w="4320"/>
          </w:tcPr>
          <w:p>
            <w:r>
              <w:t>Chlorine</w:t>
            </w:r>
          </w:p>
        </w:tc>
        <w:tc>
          <w:tcPr>
            <w:tcW w:type="dxa" w:w="4320"/>
          </w:tcPr>
          <w:p>
            <w:r>
              <w:t>Central nervous system, neurons, spinal cord</w:t>
            </w:r>
          </w:p>
        </w:tc>
      </w:tr>
      <w:tr>
        <w:tc>
          <w:tcPr>
            <w:tcW w:type="dxa" w:w="4320"/>
          </w:tcPr>
          <w:p>
            <w:r>
              <w:t>Titanium</w:t>
            </w:r>
          </w:p>
        </w:tc>
        <w:tc>
          <w:tcPr>
            <w:tcW w:type="dxa" w:w="4320"/>
          </w:tcPr>
          <w:p>
            <w:r>
              <w:t>Central nervous system, brain core, spinal cord</w:t>
            </w:r>
          </w:p>
        </w:tc>
      </w:tr>
      <w:tr>
        <w:tc>
          <w:tcPr>
            <w:tcW w:type="dxa" w:w="4320"/>
          </w:tcPr>
          <w:p>
            <w:r>
              <w:t>Chromium</w:t>
            </w:r>
          </w:p>
        </w:tc>
        <w:tc>
          <w:tcPr>
            <w:tcW w:type="dxa" w:w="4320"/>
          </w:tcPr>
          <w:p>
            <w:r>
              <w:t>Central nervous system, spinal cord</w:t>
            </w:r>
          </w:p>
        </w:tc>
      </w:tr>
      <w:tr>
        <w:tc>
          <w:tcPr>
            <w:tcW w:type="dxa" w:w="4320"/>
          </w:tcPr>
          <w:p>
            <w:r>
              <w:t>Mercury</w:t>
            </w:r>
          </w:p>
        </w:tc>
        <w:tc>
          <w:tcPr>
            <w:tcW w:type="dxa" w:w="4320"/>
          </w:tcPr>
          <w:p>
            <w:r>
              <w:t>General heavy metal burden</w:t>
            </w:r>
          </w:p>
        </w:tc>
      </w:tr>
      <w:tr>
        <w:tc>
          <w:tcPr>
            <w:tcW w:type="dxa" w:w="4320"/>
          </w:tcPr>
          <w:p>
            <w:r>
              <w:t>Nickel</w:t>
            </w:r>
          </w:p>
        </w:tc>
        <w:tc>
          <w:tcPr>
            <w:tcW w:type="dxa" w:w="4320"/>
          </w:tcPr>
          <w:p>
            <w:r>
              <w:t>General heavy metal burden</w:t>
            </w:r>
          </w:p>
        </w:tc>
      </w:tr>
    </w:tbl>
    <w:p>
      <w:r>
        <w:rPr>
          <w:sz w:val="22"/>
        </w:rPr>
        <w:t>Heavy metals in the brain and nervous system directly affect mood, behaviour, emotional regulation and neurotransmitter function. This is a significant contributor to the outbursts.</w:t>
      </w:r>
    </w:p>
    <w:p>
      <w:pPr>
        <w:spacing w:after="216" w:line="20" w:lineRule="exact"/>
      </w:pPr>
    </w:p>
    <w:p>
      <w:r>
        <w:rPr>
          <w:b/>
          <w:sz w:val="24"/>
        </w:rPr>
        <w:t>3. Graphene Oxide and Spike Protein</w:t>
      </w:r>
    </w:p>
    <w:p>
      <w:r>
        <w:rPr>
          <w:sz w:val="22"/>
        </w:rPr>
        <w:t>We found graphene oxide in the central nervous system and in Freddie's immune cells, with spike protein also present in the immune cells. These are contributing to the neurological and immune disruption we found. Clearing these is part of the vaccine cleanse.</w:t>
      </w:r>
    </w:p>
    <w:p>
      <w:pPr>
        <w:spacing w:after="216" w:line="20" w:lineRule="exact"/>
      </w:pPr>
    </w:p>
    <w:p>
      <w:r>
        <w:rPr>
          <w:b/>
          <w:sz w:val="24"/>
        </w:rPr>
        <w:t>4. Trapped Emotions — From Father and Mother</w:t>
      </w:r>
    </w:p>
    <w:p>
      <w:r>
        <w:rPr>
          <w:sz w:val="22"/>
        </w:rPr>
        <w:t>This is an important finding. We found several trapped emotions in Freddie's body — some inherited, some from early childhood:</w:t>
      </w:r>
    </w:p>
    <w:p>
      <w:pPr>
        <w:pStyle w:val="ListBullet"/>
      </w:pPr>
      <w:r>
        <w:t>Emotional disturbance from age 3 — something happened at age 3 that lodged in Freddie's body and has not been released</w:t>
      </w:r>
    </w:p>
    <w:p>
      <w:pPr>
        <w:pStyle w:val="ListBullet"/>
      </w:pPr>
      <w:r>
        <w:t>Emotional disturbance caused by father — sitting in the stomach and glands (inherited and current)</w:t>
      </w:r>
    </w:p>
    <w:p>
      <w:pPr>
        <w:pStyle w:val="ListBullet"/>
      </w:pPr>
      <w:r>
        <w:t>Emotional disturbance caused by mother — sitting in the stomach</w:t>
      </w:r>
    </w:p>
    <w:p>
      <w:pPr>
        <w:pStyle w:val="ListBullet"/>
      </w:pPr>
      <w:r>
        <w:t>Inherited anger and hatred from the father's line — sitting in the liver</w:t>
      </w:r>
    </w:p>
    <w:p>
      <w:pPr>
        <w:pStyle w:val="ListBullet"/>
      </w:pPr>
      <w:r>
        <w:t>Inherited feelings of worthlessness and being unworthy — sitting in the glands</w:t>
      </w:r>
    </w:p>
    <w:p>
      <w:pPr>
        <w:pStyle w:val="ListBullet"/>
      </w:pPr>
      <w:r>
        <w:t>Frustration and depression — trapped in the liver</w:t>
      </w:r>
    </w:p>
    <w:p>
      <w:pPr>
        <w:pStyle w:val="ListBullet"/>
      </w:pPr>
      <w:r>
        <w:t>Nervousness and worry — trapped in the stomach</w:t>
      </w:r>
    </w:p>
    <w:p>
      <w:r>
        <w:rPr>
          <w:b/>
          <w:sz w:val="22"/>
        </w:rPr>
        <w:t>In simple terms: Freddie is carrying emotional weight that is not fully his own. Some of it was inherited, some came from early experiences. This emotional load is sitting in the same liver that has the parasite — and together they are driving the outbursts. Addressing the emotional layer is just as important as the physical protocol.</w:t>
      </w:r>
    </w:p>
    <w:p>
      <w:pPr>
        <w:spacing w:after="216" w:line="20" w:lineRule="exact"/>
      </w:pPr>
    </w:p>
    <w:p>
      <w:r>
        <w:rPr>
          <w:b/>
          <w:sz w:val="24"/>
        </w:rPr>
        <w:t>5. Gut and Digestive Issues</w:t>
      </w:r>
    </w:p>
    <w:p>
      <w:pPr>
        <w:pStyle w:val="ListBullet"/>
      </w:pPr>
      <w:r>
        <w:t>Intestinal dysbiosis — the balance of good and bad bacteria in the gut is disrupted</w:t>
      </w:r>
    </w:p>
    <w:p>
      <w:pPr>
        <w:pStyle w:val="ListBullet"/>
      </w:pPr>
      <w:r>
        <w:t>Leaky gut — the gut lining has tiny gaps, allowing toxins to leak into the bloodstream</w:t>
      </w:r>
    </w:p>
    <w:p>
      <w:pPr>
        <w:pStyle w:val="ListBullet"/>
      </w:pPr>
      <w:r>
        <w:t>Low stomach acid — the stomach is not producing enough acid to digest food properly</w:t>
      </w:r>
    </w:p>
    <w:p>
      <w:pPr>
        <w:pStyle w:val="ListBullet"/>
      </w:pPr>
      <w:r>
        <w:t>Glyphosate burden — a pesticide residue (from non-organic food) that disrupts gut bacteria and contributes to the dysbiosis</w:t>
      </w:r>
    </w:p>
    <w:p>
      <w:r>
        <w:rPr>
          <w:sz w:val="22"/>
        </w:rPr>
        <w:t>The gut-brain connection is very strong in children. A disrupted gut directly affects mood, behaviour and emotional regulation.</w:t>
      </w:r>
    </w:p>
    <w:p>
      <w:pPr>
        <w:spacing w:after="432" w:line="20" w:lineRule="exact"/>
      </w:pPr>
    </w:p>
    <w:p>
      <w:pPr>
        <w:pStyle w:val="Heading1"/>
      </w:pPr>
      <w:r>
        <w:t>SECTION 2 — FREDDIE'S PROTOCOL</w:t>
      </w:r>
    </w:p>
    <w:p>
      <w:r>
        <w:rPr>
          <w:sz w:val="22"/>
        </w:rPr>
        <w:t>Three priorities: clear the liver fluke and heavy metals, cleanse the vaccine burden, and heal the gut. We are keeping supplements minimal and manageable.</w:t>
      </w:r>
    </w:p>
    <w:p>
      <w:pPr>
        <w:spacing w:after="288" w:line="20" w:lineRule="exact"/>
      </w:pPr>
    </w:p>
    <w:p>
      <w:r>
        <w:rPr>
          <w:b/>
          <w:sz w:val="24"/>
        </w:rPr>
        <w:t>His 5 Marion Sprays</w:t>
      </w:r>
    </w:p>
    <w:p>
      <w:r>
        <w:rPr>
          <w:sz w:val="22"/>
        </w:rPr>
        <w:t>These are the most important part of Freddie's protocol. Use as directed on each spray.</w:t>
      </w:r>
    </w:p>
    <w:tbl>
      <w:tblPr>
        <w:tblStyle w:val="TableGrid"/>
        <w:tblW w:type="auto" w:w="0"/>
        <w:tblLook w:firstColumn="1" w:firstRow="1" w:lastColumn="0" w:lastRow="0" w:noHBand="0" w:noVBand="1" w:val="04A0"/>
      </w:tblPr>
      <w:tblGrid>
        <w:gridCol w:w="4320"/>
        <w:gridCol w:w="4320"/>
      </w:tblGrid>
      <w:tr>
        <w:tc>
          <w:tcPr>
            <w:tcW w:type="dxa" w:w="4320"/>
            <w:shd w:fill="007a7a"/>
          </w:tcPr>
          <w:p>
            <w:r>
              <w:rPr>
                <w:b/>
                <w:color w:val="FFFFFF"/>
              </w:rPr>
              <w:t>Spray</w:t>
            </w:r>
          </w:p>
        </w:tc>
        <w:tc>
          <w:tcPr>
            <w:tcW w:type="dxa" w:w="4320"/>
            <w:shd w:fill="007a7a"/>
          </w:tcPr>
          <w:p>
            <w:r>
              <w:rPr>
                <w:b/>
                <w:color w:val="FFFFFF"/>
              </w:rPr>
              <w:t>What It Does for Freddie</w:t>
            </w:r>
          </w:p>
        </w:tc>
      </w:tr>
      <w:tr>
        <w:tc>
          <w:tcPr>
            <w:tcW w:type="dxa" w:w="4320"/>
          </w:tcPr>
          <w:p>
            <w:r>
              <w:t>Marion Spray: Hepcirk</w:t>
            </w:r>
          </w:p>
        </w:tc>
        <w:tc>
          <w:tcPr>
            <w:tcW w:type="dxa" w:w="4320"/>
          </w:tcPr>
          <w:p>
            <w:r>
              <w:t>Targets the liver fluke directly. Supports the liver and circulation. This is the most important spray for the anger and frustration outbursts — it addresses the root physical cause.</w:t>
            </w:r>
          </w:p>
        </w:tc>
      </w:tr>
      <w:tr>
        <w:tc>
          <w:tcPr>
            <w:tcW w:type="dxa" w:w="4320"/>
          </w:tcPr>
          <w:p>
            <w:r>
              <w:t>Marion Spray: Tox</w:t>
            </w:r>
          </w:p>
        </w:tc>
        <w:tc>
          <w:tcPr>
            <w:tcW w:type="dxa" w:w="4320"/>
          </w:tcPr>
          <w:p>
            <w:r>
              <w:t>Clears heavy metals (chlorine, titanium, chromium, mercury, nickel), graphene oxide and vaccine residues from the body. Essential for the nervous system and brain findings.</w:t>
            </w:r>
          </w:p>
        </w:tc>
      </w:tr>
      <w:tr>
        <w:tc>
          <w:tcPr>
            <w:tcW w:type="dxa" w:w="4320"/>
          </w:tcPr>
          <w:p>
            <w:r>
              <w:t>Marion Spray: Mun</w:t>
            </w:r>
          </w:p>
        </w:tc>
        <w:tc>
          <w:tcPr>
            <w:tcW w:type="dxa" w:w="4320"/>
          </w:tcPr>
          <w:p>
            <w:r>
              <w:t>Strengthens the immune system and helps clear spike protein from the immune cells. Supports anti-viral and anti-parasitic immunity.</w:t>
            </w:r>
          </w:p>
        </w:tc>
      </w:tr>
      <w:tr>
        <w:tc>
          <w:tcPr>
            <w:tcW w:type="dxa" w:w="4320"/>
          </w:tcPr>
          <w:p>
            <w:r>
              <w:t>Marion Spray: Col</w:t>
            </w:r>
          </w:p>
        </w:tc>
        <w:tc>
          <w:tcPr>
            <w:tcW w:type="dxa" w:w="4320"/>
          </w:tcPr>
          <w:p>
            <w:r>
              <w:t>Clears the gut — addresses the intestinal dysbiosis, leaky gut and intestinal toxins. A healthy gut means a calmer, more regulated nervous system.</w:t>
            </w:r>
          </w:p>
        </w:tc>
      </w:tr>
      <w:tr>
        <w:tc>
          <w:tcPr>
            <w:tcW w:type="dxa" w:w="4320"/>
          </w:tcPr>
          <w:p>
            <w:r>
              <w:t>Marion Spray: Neu</w:t>
            </w:r>
          </w:p>
        </w:tc>
        <w:tc>
          <w:tcPr>
            <w:tcW w:type="dxa" w:w="4320"/>
          </w:tcPr>
          <w:p>
            <w:r>
              <w:t>Supports the central nervous system and neurotransmitter function. Directly addresses the neurological disruption from the heavy metals and graphene oxide in the brain and spinal cord.</w:t>
            </w:r>
          </w:p>
        </w:tc>
      </w:tr>
    </w:tbl>
    <w:p>
      <w:pPr>
        <w:spacing w:after="288" w:line="20" w:lineRule="exact"/>
      </w:pPr>
    </w:p>
    <w:p>
      <w:r>
        <w:rPr>
          <w:b/>
          <w:sz w:val="24"/>
        </w:rPr>
        <w:t>Supporting Supplements — Keep It Simple</w:t>
      </w:r>
    </w:p>
    <w:p>
      <w:r>
        <w:rPr>
          <w:sz w:val="22"/>
        </w:rPr>
        <w:t>Just three additional supplements. Do not add more than one new thing per week.</w:t>
      </w:r>
    </w:p>
    <w:tbl>
      <w:tblPr>
        <w:tblStyle w:val="TableGrid"/>
        <w:tblW w:type="auto" w:w="0"/>
        <w:tblLook w:firstColumn="1" w:firstRow="1" w:lastColumn="0" w:lastRow="0" w:noHBand="0" w:noVBand="1" w:val="04A0"/>
      </w:tblPr>
      <w:tblGrid>
        <w:gridCol w:w="2880"/>
        <w:gridCol w:w="2880"/>
        <w:gridCol w:w="2880"/>
      </w:tblGrid>
      <w:tr>
        <w:tc>
          <w:tcPr>
            <w:tcW w:type="dxa" w:w="2880"/>
            <w:shd w:fill="007a7a"/>
          </w:tcPr>
          <w:p>
            <w:r>
              <w:rPr>
                <w:b/>
                <w:color w:val="FFFFFF"/>
              </w:rPr>
              <w:t>Supplement</w:t>
            </w:r>
          </w:p>
        </w:tc>
        <w:tc>
          <w:tcPr>
            <w:tcW w:type="dxa" w:w="2880"/>
            <w:shd w:fill="007a7a"/>
          </w:tcPr>
          <w:p>
            <w:r>
              <w:rPr>
                <w:b/>
                <w:color w:val="FFFFFF"/>
              </w:rPr>
              <w:t>What It Does</w:t>
            </w:r>
          </w:p>
        </w:tc>
        <w:tc>
          <w:tcPr>
            <w:tcW w:type="dxa" w:w="2880"/>
            <w:shd w:fill="007a7a"/>
          </w:tcPr>
          <w:p>
            <w:r>
              <w:rPr>
                <w:b/>
                <w:color w:val="FFFFFF"/>
              </w:rPr>
              <w:t>How to Give It</w:t>
            </w:r>
          </w:p>
        </w:tc>
      </w:tr>
      <w:tr>
        <w:tc>
          <w:tcPr>
            <w:tcW w:type="dxa" w:w="2880"/>
          </w:tcPr>
          <w:p>
            <w:r>
              <w:t>Probiotics — children's multi-strain, dairy-free</w:t>
            </w:r>
          </w:p>
        </w:tc>
        <w:tc>
          <w:tcPr>
            <w:tcW w:type="dxa" w:w="2880"/>
          </w:tcPr>
          <w:p>
            <w:r>
              <w:t>Rebuilds the good bacteria in the gut. Essential for gut healing and mood regulation. A healthy gut directly calms the nervous system.</w:t>
            </w:r>
          </w:p>
        </w:tc>
        <w:tc>
          <w:tcPr>
            <w:tcW w:type="dxa" w:w="2880"/>
          </w:tcPr>
          <w:p>
            <w:r>
              <w:t>Morning, away from other supplements. Choose a children's formula — powder or chewable.</w:t>
            </w:r>
          </w:p>
        </w:tc>
      </w:tr>
      <w:tr>
        <w:tc>
          <w:tcPr>
            <w:tcW w:type="dxa" w:w="2880"/>
          </w:tcPr>
          <w:p>
            <w:r>
              <w:t>Chlorella — broken cell wall (very small dose)</w:t>
            </w:r>
          </w:p>
        </w:tc>
        <w:tc>
          <w:tcPr>
            <w:tcW w:type="dxa" w:w="2880"/>
          </w:tcPr>
          <w:p>
            <w:r>
              <w:t>Binds to heavy metals in the gut and helps remove them from the body. Start with just a quarter of the adult dose and build up very slowly.</w:t>
            </w:r>
          </w:p>
        </w:tc>
        <w:tc>
          <w:tcPr>
            <w:tcW w:type="dxa" w:w="2880"/>
          </w:tcPr>
          <w:p>
            <w:r>
              <w:t>With food. Start tiny — 1 small tablet or quarter teaspoon powder. 2 hours away from other supplements.</w:t>
            </w:r>
          </w:p>
        </w:tc>
      </w:tr>
      <w:tr>
        <w:tc>
          <w:tcPr>
            <w:tcW w:type="dxa" w:w="2880"/>
          </w:tcPr>
          <w:p>
            <w:r>
              <w:t>Vitamin C — children's buffered (calcium ascorbate)</w:t>
            </w:r>
          </w:p>
        </w:tc>
        <w:tc>
          <w:tcPr>
            <w:tcW w:type="dxa" w:w="2880"/>
          </w:tcPr>
          <w:p>
            <w:r>
              <w:t>Supports heavy metal clearance, immune function and gut healing. Gentle on the stomach.</w:t>
            </w:r>
          </w:p>
        </w:tc>
        <w:tc>
          <w:tcPr>
            <w:tcW w:type="dxa" w:w="2880"/>
          </w:tcPr>
          <w:p>
            <w:r>
              <w:t>With food. Children's dose — powder or chewable form.</w:t>
            </w:r>
          </w:p>
        </w:tc>
      </w:tr>
    </w:tbl>
    <w:p>
      <w:pPr>
        <w:spacing w:after="432" w:line="20" w:lineRule="exact"/>
      </w:pPr>
    </w:p>
    <w:p>
      <w:pPr>
        <w:pStyle w:val="Heading1"/>
      </w:pPr>
      <w:r>
        <w:t>SECTION 3 — FOOD GUIDE</w:t>
      </w:r>
    </w:p>
    <w:p>
      <w:r>
        <w:rPr>
          <w:sz w:val="22"/>
        </w:rPr>
        <w:t>Freddie's diet is already good — these are targeted adjustments, not a complete overhaul.</w:t>
      </w:r>
    </w:p>
    <w:p>
      <w:pPr>
        <w:spacing w:after="216" w:line="20" w:lineRule="exact"/>
      </w:pPr>
    </w:p>
    <w:p>
      <w:r>
        <w:rPr>
          <w:b/>
          <w:sz w:val="24"/>
        </w:rPr>
        <w:t>The Most Important Change: Go Organic Where Possible</w:t>
      </w:r>
    </w:p>
    <w:p>
      <w:r>
        <w:rPr>
          <w:sz w:val="22"/>
        </w:rPr>
        <w:t>We found a glyphosate burden — this is a pesticide residue from non-organic food that is disrupting Freddie's gut bacteria. Switching to organic produce where possible (especially the foods Freddie eats most often) will make a significant difference. Priority organic items: oats, apples, strawberries, grapes, wheat products, and any vegetables Freddie eats regularly.</w:t>
      </w:r>
    </w:p>
    <w:p>
      <w:pPr>
        <w:spacing w:after="216" w:line="20" w:lineRule="exact"/>
      </w:pPr>
    </w:p>
    <w:p>
      <w:r>
        <w:rPr>
          <w:b/>
          <w:sz w:val="24"/>
        </w:rPr>
        <w:t>Gut-Friendly Foods to Include</w:t>
      </w:r>
    </w:p>
    <w:tbl>
      <w:tblPr>
        <w:tblStyle w:val="TableGrid"/>
        <w:tblW w:type="auto" w:w="0"/>
        <w:tblLook w:firstColumn="1" w:firstRow="1" w:lastColumn="0" w:lastRow="0" w:noHBand="0" w:noVBand="1" w:val="04A0"/>
      </w:tblPr>
      <w:tblGrid>
        <w:gridCol w:w="4320"/>
        <w:gridCol w:w="4320"/>
      </w:tblGrid>
      <w:tr>
        <w:tc>
          <w:tcPr>
            <w:tcW w:type="dxa" w:w="4320"/>
            <w:shd w:fill="007a7a"/>
          </w:tcPr>
          <w:p>
            <w:r>
              <w:rPr>
                <w:b/>
                <w:color w:val="FFFFFF"/>
              </w:rPr>
              <w:t>Food</w:t>
            </w:r>
          </w:p>
        </w:tc>
        <w:tc>
          <w:tcPr>
            <w:tcW w:type="dxa" w:w="4320"/>
            <w:shd w:fill="007a7a"/>
          </w:tcPr>
          <w:p>
            <w:r>
              <w:rPr>
                <w:b/>
                <w:color w:val="FFFFFF"/>
              </w:rPr>
              <w:t>Why It Helps</w:t>
            </w:r>
          </w:p>
        </w:tc>
      </w:tr>
      <w:tr>
        <w:tc>
          <w:tcPr>
            <w:tcW w:type="dxa" w:w="4320"/>
          </w:tcPr>
          <w:p>
            <w:r>
              <w:t>Bone broth or good quality chicken soup</w:t>
            </w:r>
          </w:p>
        </w:tc>
        <w:tc>
          <w:tcPr>
            <w:tcW w:type="dxa" w:w="4320"/>
          </w:tcPr>
          <w:p>
            <w:r>
              <w:t>Rich in collagen and minerals — heals the gut lining and supports the nervous system. Give regularly.</w:t>
            </w:r>
          </w:p>
        </w:tc>
      </w:tr>
      <w:tr>
        <w:tc>
          <w:tcPr>
            <w:tcW w:type="dxa" w:w="4320"/>
          </w:tcPr>
          <w:p>
            <w:r>
              <w:t>Fermented foods — plain dairy-free yoghurt, kefir (if tolerated)</w:t>
            </w:r>
          </w:p>
        </w:tc>
        <w:tc>
          <w:tcPr>
            <w:tcW w:type="dxa" w:w="4320"/>
          </w:tcPr>
          <w:p>
            <w:r>
              <w:t>Puts good bacteria back into the gut. Start small.</w:t>
            </w:r>
          </w:p>
        </w:tc>
      </w:tr>
      <w:tr>
        <w:tc>
          <w:tcPr>
            <w:tcW w:type="dxa" w:w="4320"/>
          </w:tcPr>
          <w:p>
            <w:r>
              <w:t>Cooked vegetables — courgette, peas, broccoli, cauliflower, sweet potato</w:t>
            </w:r>
          </w:p>
        </w:tc>
        <w:tc>
          <w:tcPr>
            <w:tcW w:type="dxa" w:w="4320"/>
          </w:tcPr>
          <w:p>
            <w:r>
              <w:t>Easy to digest, anti-inflammatory and gut-healing</w:t>
            </w:r>
          </w:p>
        </w:tc>
      </w:tr>
      <w:tr>
        <w:tc>
          <w:tcPr>
            <w:tcW w:type="dxa" w:w="4320"/>
          </w:tcPr>
          <w:p>
            <w:r>
              <w:t>Blueberries and other berries (organic)</w:t>
            </w:r>
          </w:p>
        </w:tc>
        <w:tc>
          <w:tcPr>
            <w:tcW w:type="dxa" w:w="4320"/>
          </w:tcPr>
          <w:p>
            <w:r>
              <w:t>Rich in antioxidants — support brain health and reduce oxidative stress from the heavy metals</w:t>
            </w:r>
          </w:p>
        </w:tc>
      </w:tr>
      <w:tr>
        <w:tc>
          <w:tcPr>
            <w:tcW w:type="dxa" w:w="4320"/>
          </w:tcPr>
          <w:p>
            <w:r>
              <w:t>Pumpkin seeds</w:t>
            </w:r>
          </w:p>
        </w:tc>
        <w:tc>
          <w:tcPr>
            <w:tcW w:type="dxa" w:w="4320"/>
          </w:tcPr>
          <w:p>
            <w:r>
              <w:t>Anti-parasitic and rich in zinc — supports immune function and helps clear parasites</w:t>
            </w:r>
          </w:p>
        </w:tc>
      </w:tr>
      <w:tr>
        <w:tc>
          <w:tcPr>
            <w:tcW w:type="dxa" w:w="4320"/>
          </w:tcPr>
          <w:p>
            <w:r>
              <w:t>Oily fish — salmon, sardines (2–3 times per week)</w:t>
            </w:r>
          </w:p>
        </w:tc>
        <w:tc>
          <w:tcPr>
            <w:tcW w:type="dxa" w:w="4320"/>
          </w:tcPr>
          <w:p>
            <w:r>
              <w:t>Rich in omega-3 — essential for brain health, emotional regulation and reducing neurological inflammation from the heavy metals</w:t>
            </w:r>
          </w:p>
        </w:tc>
      </w:tr>
      <w:tr>
        <w:tc>
          <w:tcPr>
            <w:tcW w:type="dxa" w:w="4320"/>
          </w:tcPr>
          <w:p>
            <w:r>
              <w:t>Eggs (organic)</w:t>
            </w:r>
          </w:p>
        </w:tc>
        <w:tc>
          <w:tcPr>
            <w:tcW w:type="dxa" w:w="4320"/>
          </w:tcPr>
          <w:p>
            <w:r>
              <w:t>Rich in choline and B vitamins — supports brain health and nervous system</w:t>
            </w:r>
          </w:p>
        </w:tc>
      </w:tr>
      <w:tr>
        <w:tc>
          <w:tcPr>
            <w:tcW w:type="dxa" w:w="4320"/>
          </w:tcPr>
          <w:p>
            <w:r>
              <w:t>Brown rice, quinoa, oats (organic, gluten-free oats)</w:t>
            </w:r>
          </w:p>
        </w:tc>
        <w:tc>
          <w:tcPr>
            <w:tcW w:type="dxa" w:w="4320"/>
          </w:tcPr>
          <w:p>
            <w:r>
              <w:t>Gentle on the gut, provides sustained energy</w:t>
            </w:r>
          </w:p>
        </w:tc>
      </w:tr>
    </w:tbl>
    <w:p>
      <w:pPr>
        <w:spacing w:after="216" w:line="20" w:lineRule="exact"/>
      </w:pPr>
    </w:p>
    <w:p>
      <w:r>
        <w:rPr>
          <w:b/>
          <w:sz w:val="24"/>
        </w:rPr>
        <w:t>Foods to Reduce or Remove</w:t>
      </w:r>
    </w:p>
    <w:tbl>
      <w:tblPr>
        <w:tblStyle w:val="TableGrid"/>
        <w:tblW w:type="auto" w:w="0"/>
        <w:tblLook w:firstColumn="1" w:firstRow="1" w:lastColumn="0" w:lastRow="0" w:noHBand="0" w:noVBand="1" w:val="04A0"/>
      </w:tblPr>
      <w:tblGrid>
        <w:gridCol w:w="4320"/>
        <w:gridCol w:w="4320"/>
      </w:tblGrid>
      <w:tr>
        <w:tc>
          <w:tcPr>
            <w:tcW w:type="dxa" w:w="4320"/>
            <w:shd w:fill="007a7a"/>
          </w:tcPr>
          <w:p>
            <w:r>
              <w:rPr>
                <w:b/>
                <w:color w:val="FFFFFF"/>
              </w:rPr>
              <w:t>Reduce or Remove</w:t>
            </w:r>
          </w:p>
        </w:tc>
        <w:tc>
          <w:tcPr>
            <w:tcW w:type="dxa" w:w="4320"/>
            <w:shd w:fill="007a7a"/>
          </w:tcPr>
          <w:p>
            <w:r>
              <w:rPr>
                <w:b/>
                <w:color w:val="FFFFFF"/>
              </w:rPr>
              <w:t>Why</w:t>
            </w:r>
          </w:p>
        </w:tc>
      </w:tr>
      <w:tr>
        <w:tc>
          <w:tcPr>
            <w:tcW w:type="dxa" w:w="4320"/>
          </w:tcPr>
          <w:p>
            <w:r>
              <w:t>Sugar — sweets, fizzy drinks, fruit juice, biscuits, cakes</w:t>
            </w:r>
          </w:p>
        </w:tc>
        <w:tc>
          <w:tcPr>
            <w:tcW w:type="dxa" w:w="4320"/>
          </w:tcPr>
          <w:p>
            <w:r>
              <w:t>Feeds the gut pathogens and worsens dysbiosis. Also spikes blood sugar which directly worsens mood and outbursts.</w:t>
            </w:r>
          </w:p>
        </w:tc>
      </w:tr>
      <w:tr>
        <w:tc>
          <w:tcPr>
            <w:tcW w:type="dxa" w:w="4320"/>
          </w:tcPr>
          <w:p>
            <w:r>
              <w:t>Processed and packaged foods</w:t>
            </w:r>
          </w:p>
        </w:tc>
        <w:tc>
          <w:tcPr>
            <w:tcW w:type="dxa" w:w="4320"/>
          </w:tcPr>
          <w:p>
            <w:r>
              <w:t>Full of additives, preservatives and hidden sugars that add to the toxic burden</w:t>
            </w:r>
          </w:p>
        </w:tc>
      </w:tr>
      <w:tr>
        <w:tc>
          <w:tcPr>
            <w:tcW w:type="dxa" w:w="4320"/>
          </w:tcPr>
          <w:p>
            <w:r>
              <w:t>Non-organic wheat and oats</w:t>
            </w:r>
          </w:p>
        </w:tc>
        <w:tc>
          <w:tcPr>
            <w:tcW w:type="dxa" w:w="4320"/>
          </w:tcPr>
          <w:p>
            <w:r>
              <w:t>High in glyphosate residue — switch to organic versions</w:t>
            </w:r>
          </w:p>
        </w:tc>
      </w:tr>
      <w:tr>
        <w:tc>
          <w:tcPr>
            <w:tcW w:type="dxa" w:w="4320"/>
          </w:tcPr>
          <w:p>
            <w:r>
              <w:t>Artificial colours and flavours — especially red and yellow food dyes</w:t>
            </w:r>
          </w:p>
        </w:tc>
        <w:tc>
          <w:tcPr>
            <w:tcW w:type="dxa" w:w="4320"/>
          </w:tcPr>
          <w:p>
            <w:r>
              <w:t>Well-documented link to hyperactivity and mood dysregulation in children</w:t>
            </w:r>
          </w:p>
        </w:tc>
      </w:tr>
      <w:tr>
        <w:tc>
          <w:tcPr>
            <w:tcW w:type="dxa" w:w="4320"/>
          </w:tcPr>
          <w:p>
            <w:r>
              <w:t>Dairy (if Freddie shows signs of sensitivity)</w:t>
            </w:r>
          </w:p>
        </w:tc>
        <w:tc>
          <w:tcPr>
            <w:tcW w:type="dxa" w:w="4320"/>
          </w:tcPr>
          <w:p>
            <w:r>
              <w:t>Can worsen gut inflammation and mood in some children — monitor and reduce if needed</w:t>
            </w:r>
          </w:p>
        </w:tc>
      </w:tr>
    </w:tbl>
    <w:p>
      <w:pPr>
        <w:spacing w:after="432" w:line="20" w:lineRule="exact"/>
      </w:pPr>
    </w:p>
    <w:p>
      <w:pPr>
        <w:pStyle w:val="Heading1"/>
      </w:pPr>
      <w:r>
        <w:t>SECTION 4 — THE EMOTIONAL LAYER</w:t>
      </w:r>
    </w:p>
    <w:p>
      <w:r>
        <w:rPr>
          <w:sz w:val="22"/>
        </w:rPr>
        <w:t>This section is for parents. Please read it with care.</w:t>
      </w:r>
    </w:p>
    <w:p>
      <w:pPr>
        <w:spacing w:after="216" w:line="20" w:lineRule="exact"/>
      </w:pPr>
    </w:p>
    <w:p>
      <w:r>
        <w:rPr>
          <w:sz w:val="22"/>
        </w:rPr>
        <w:t>Freddie is carrying emotional weight that is not fully his own. The inherited anger and hatred from the father's line, the feelings of worthlessness, and the emotional disturbance from age 3 are all sitting in his body and contributing to the outbursts. This is not about blame — inherited trapped emotions are passed down through family lines and are very common. They can be released gently.</w:t>
      </w:r>
    </w:p>
    <w:p>
      <w:pPr>
        <w:spacing w:after="216" w:line="20" w:lineRule="exact"/>
      </w:pPr>
    </w:p>
    <w:p>
      <w:r>
        <w:rPr>
          <w:b/>
          <w:sz w:val="24"/>
        </w:rPr>
        <w:t>What Helps</w:t>
      </w:r>
    </w:p>
    <w:tbl>
      <w:tblPr>
        <w:tblStyle w:val="TableGrid"/>
        <w:tblW w:type="auto" w:w="0"/>
        <w:tblLook w:firstColumn="1" w:firstRow="1" w:lastColumn="0" w:lastRow="0" w:noHBand="0" w:noVBand="1" w:val="04A0"/>
      </w:tblPr>
      <w:tblGrid>
        <w:gridCol w:w="4320"/>
        <w:gridCol w:w="4320"/>
      </w:tblGrid>
      <w:tr>
        <w:tc>
          <w:tcPr>
            <w:tcW w:type="dxa" w:w="4320"/>
            <w:shd w:fill="007a7a"/>
          </w:tcPr>
          <w:p>
            <w:r>
              <w:rPr>
                <w:b/>
                <w:color w:val="FFFFFF"/>
              </w:rPr>
              <w:t>Practice</w:t>
            </w:r>
          </w:p>
        </w:tc>
        <w:tc>
          <w:tcPr>
            <w:tcW w:type="dxa" w:w="4320"/>
            <w:shd w:fill="007a7a"/>
          </w:tcPr>
          <w:p>
            <w:r>
              <w:rPr>
                <w:b/>
                <w:color w:val="FFFFFF"/>
              </w:rPr>
              <w:t>How To Do It</w:t>
            </w:r>
          </w:p>
        </w:tc>
      </w:tr>
      <w:tr>
        <w:tc>
          <w:tcPr>
            <w:tcW w:type="dxa" w:w="4320"/>
          </w:tcPr>
          <w:p>
            <w:r>
              <w:t>Emotion Code sessions</w:t>
            </w:r>
          </w:p>
        </w:tc>
        <w:tc>
          <w:tcPr>
            <w:tcW w:type="dxa" w:w="4320"/>
          </w:tcPr>
          <w:p>
            <w:r>
              <w:t>Your practitioner can help release the trapped emotions — including the inherited ones from the father's line and the age-3 disturbance. This is gentle, non-invasive and very effective for children.</w:t>
            </w:r>
          </w:p>
        </w:tc>
      </w:tr>
      <w:tr>
        <w:tc>
          <w:tcPr>
            <w:tcW w:type="dxa" w:w="4320"/>
          </w:tcPr>
          <w:p>
            <w:r>
              <w:t>When Freddie has an outburst — stay calm and name it</w:t>
            </w:r>
          </w:p>
        </w:tc>
        <w:tc>
          <w:tcPr>
            <w:tcW w:type="dxa" w:w="4320"/>
          </w:tcPr>
          <w:p>
            <w:r>
              <w:t>Say: 'I can see you are feeling really angry right now. That is okay. Let's breathe together.' Do not match his energy. Calm, steady presence helps regulate his nervous system.</w:t>
            </w:r>
          </w:p>
        </w:tc>
      </w:tr>
      <w:tr>
        <w:tc>
          <w:tcPr>
            <w:tcW w:type="dxa" w:w="4320"/>
          </w:tcPr>
          <w:p>
            <w:r>
              <w:t>Breathing together</w:t>
            </w:r>
          </w:p>
        </w:tc>
        <w:tc>
          <w:tcPr>
            <w:tcW w:type="dxa" w:w="4320"/>
          </w:tcPr>
          <w:p>
            <w:r>
              <w:t>When Freddie is calm, practise slow breathing together — breathe in for 4 counts, out for 6. This builds his capacity to self-regulate over time.</w:t>
            </w:r>
          </w:p>
        </w:tc>
      </w:tr>
      <w:tr>
        <w:tc>
          <w:tcPr>
            <w:tcW w:type="dxa" w:w="4320"/>
          </w:tcPr>
          <w:p>
            <w:r>
              <w:t>Reduce his stress load</w:t>
            </w:r>
          </w:p>
        </w:tc>
        <w:tc>
          <w:tcPr>
            <w:tcW w:type="dxa" w:w="4320"/>
          </w:tcPr>
          <w:p>
            <w:r>
              <w:t>Heavy metals and a burdened liver make children much more sensitive to stress. Reduce screen time, ensure good sleep, and keep his routine calm and predictable.</w:t>
            </w:r>
          </w:p>
        </w:tc>
      </w:tr>
      <w:tr>
        <w:tc>
          <w:tcPr>
            <w:tcW w:type="dxa" w:w="4320"/>
          </w:tcPr>
          <w:p>
            <w:r>
              <w:t>Reassure him he is enough</w:t>
            </w:r>
          </w:p>
        </w:tc>
        <w:tc>
          <w:tcPr>
            <w:tcW w:type="dxa" w:w="4320"/>
          </w:tcPr>
          <w:p>
            <w:r>
              <w:t>The inherited feelings of worthlessness and being unworthy need to be countered with consistent, genuine reassurance. Tell Freddie regularly: 'You are enough. I am proud of you. You are loved.'</w:t>
            </w:r>
          </w:p>
        </w:tc>
      </w:tr>
    </w:tbl>
    <w:p>
      <w:pPr>
        <w:spacing w:after="432" w:line="20" w:lineRule="exact"/>
      </w:pPr>
    </w:p>
    <w:p>
      <w:pPr>
        <w:spacing w:before="120" w:after="120"/>
        <w:pBdr>
          <w:bottom w:val="single" w:sz="6" w:space="1" w:color="999999"/>
        </w:pBdr>
      </w:pPr>
    </w:p>
    <w:p>
      <w:pPr>
        <w:spacing w:after="288" w:line="20" w:lineRule="exact"/>
      </w:pPr>
    </w:p>
    <w:p>
      <w:r>
        <w:rPr>
          <w:b/>
          <w:sz w:val="24"/>
        </w:rPr>
        <w:t>A Note for Parents</w:t>
      </w:r>
    </w:p>
    <w:p>
      <w:r>
        <w:rPr>
          <w:sz w:val="22"/>
        </w:rPr>
        <w:t>Freddie's outbursts have a clear physical cause — a liver parasite, heavy metals in the brain and nervous system, and trapped emotional weight. As the protocol clears these, you should see a gradual but real improvement in his mood and emotional regulation. Be patient with the process. The physical and emotional healing work together.</w:t>
      </w:r>
    </w:p>
    <w:p>
      <w:pPr>
        <w:spacing w:after="288" w:line="20" w:lineRule="exact"/>
      </w:pPr>
    </w:p>
    <w:p>
      <w:pPr>
        <w:jc w:val="center"/>
      </w:pPr>
      <w:r>
        <w:rPr>
          <w:i/>
          <w:sz w:val="20"/>
        </w:rPr>
        <w:t>Freddie Ford  |  Protocol prepared by Riico Health  |  16 September 2026</w:t>
      </w:r>
    </w:p>
    <w:sectPr w:rsidR="00FC693F" w:rsidRPr="0006063C" w:rsidSect="00034616">
      <w:footerReference w:type="default" r:id="rId9"/>
      <w:pgSz w:w="12240" w:h="15840"/>
      <w:pgMar w:top="1440" w:right="1800" w:bottom="1440" w:left="180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66666"/>
        <w:sz w:val="18"/>
      </w:rPr>
      <w:t xml:space="preserve">Riico Health  |  Freddie Ford  |  September 2026    Page </w:t>
    </w: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color w:val="20202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eastAsia="Arial"/>
      <w:b/>
      <w:bCs/>
      <w:color w:val="007A7A"/>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eastAsia="Arial"/>
      <w:b/>
      <w:bCs/>
      <w:color w:val="007A7A"/>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eastAsia="Arial"/>
      <w:b/>
      <w:bCs/>
      <w:color w:val="007A7A"/>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ascii="Arial" w:hAnsi="Arial" w:eastAsia="Arial"/>
      <w:b/>
      <w:bCs/>
      <w:i/>
      <w:iCs/>
      <w:color w:val="007A7A"/>
      <w:sz w:val="22"/>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eastAsia="Arial"/>
      <w:b/>
      <w:color w:val="007A7A"/>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